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F0289" w14:textId="77777777" w:rsidR="00E97141" w:rsidRDefault="00E97141" w:rsidP="00E9714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Upute o uplati naknada za obrazovni program i ispite</w:t>
      </w:r>
    </w:p>
    <w:p w14:paraId="26C14592" w14:textId="77777777" w:rsidR="00E97141" w:rsidRDefault="00E97141" w:rsidP="00E97141">
      <w:pPr>
        <w:pStyle w:val="Default"/>
        <w:jc w:val="center"/>
        <w:rPr>
          <w:sz w:val="23"/>
          <w:szCs w:val="23"/>
        </w:rPr>
      </w:pPr>
    </w:p>
    <w:p w14:paraId="0145A787" w14:textId="49627C42" w:rsidR="0088529B" w:rsidRPr="0088529B" w:rsidRDefault="00E97141" w:rsidP="0088529B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za </w:t>
      </w:r>
      <w:r>
        <w:rPr>
          <w:b/>
          <w:bCs/>
          <w:sz w:val="22"/>
          <w:szCs w:val="22"/>
        </w:rPr>
        <w:t xml:space="preserve">obrazovni program </w:t>
      </w:r>
      <w:r>
        <w:rPr>
          <w:sz w:val="22"/>
          <w:szCs w:val="22"/>
        </w:rPr>
        <w:t xml:space="preserve">za </w:t>
      </w:r>
      <w:r w:rsidR="00340ED4">
        <w:rPr>
          <w:sz w:val="22"/>
          <w:szCs w:val="22"/>
        </w:rPr>
        <w:t>provjeru znanja i stjecanje kvalifikacija za pružanje informacija o investicijskim proizvodima i uslugama, brokerske poslove i investicijsko savjetovanje</w:t>
      </w:r>
      <w:r w:rsidR="0088529B" w:rsidRPr="0088529B">
        <w:rPr>
          <w:sz w:val="22"/>
          <w:szCs w:val="22"/>
        </w:rPr>
        <w:t xml:space="preserve"> </w:t>
      </w:r>
      <w:r w:rsidR="0088529B">
        <w:rPr>
          <w:sz w:val="22"/>
          <w:szCs w:val="22"/>
        </w:rPr>
        <w:t xml:space="preserve">te </w:t>
      </w:r>
      <w:r w:rsidR="0088529B" w:rsidRPr="0088529B">
        <w:rPr>
          <w:sz w:val="22"/>
          <w:szCs w:val="22"/>
        </w:rPr>
        <w:t>za stjecanje zvanja ovlaštenog up</w:t>
      </w:r>
      <w:r w:rsidR="0087789E">
        <w:rPr>
          <w:sz w:val="22"/>
          <w:szCs w:val="22"/>
        </w:rPr>
        <w:t>ravitelja mirovinskih fondova</w:t>
      </w:r>
      <w:r w:rsidR="0088529B" w:rsidRPr="0088529B">
        <w:rPr>
          <w:sz w:val="22"/>
          <w:szCs w:val="22"/>
        </w:rPr>
        <w:t xml:space="preserve"> i stjecanje kvalifikacija za upravljanje mirovinskim osiguravajućim društvom</w:t>
      </w:r>
    </w:p>
    <w:p w14:paraId="5F96B8FF" w14:textId="77777777" w:rsidR="00E97141" w:rsidRDefault="00E97141" w:rsidP="00E97141">
      <w:pPr>
        <w:pStyle w:val="Default"/>
        <w:jc w:val="center"/>
        <w:rPr>
          <w:sz w:val="22"/>
          <w:szCs w:val="22"/>
        </w:rPr>
      </w:pPr>
    </w:p>
    <w:p w14:paraId="3443E900" w14:textId="77777777" w:rsidR="00E97141" w:rsidRPr="0092773A" w:rsidRDefault="00E97141" w:rsidP="00E97141">
      <w:pPr>
        <w:pStyle w:val="Default"/>
        <w:jc w:val="both"/>
        <w:rPr>
          <w:sz w:val="22"/>
          <w:szCs w:val="22"/>
        </w:rPr>
      </w:pPr>
    </w:p>
    <w:p w14:paraId="2C4E8117" w14:textId="5D593CDF" w:rsidR="00E97141" w:rsidRPr="0092773A" w:rsidRDefault="00E97141" w:rsidP="00E97141">
      <w:pPr>
        <w:pStyle w:val="Default"/>
        <w:jc w:val="center"/>
        <w:rPr>
          <w:sz w:val="22"/>
          <w:szCs w:val="22"/>
        </w:rPr>
      </w:pPr>
      <w:r w:rsidRPr="0092773A">
        <w:rPr>
          <w:sz w:val="22"/>
          <w:szCs w:val="22"/>
        </w:rPr>
        <w:t xml:space="preserve">za </w:t>
      </w:r>
      <w:r w:rsidRPr="0092773A">
        <w:rPr>
          <w:b/>
          <w:bCs/>
          <w:sz w:val="22"/>
          <w:szCs w:val="22"/>
        </w:rPr>
        <w:t xml:space="preserve">ispit </w:t>
      </w:r>
      <w:r w:rsidRPr="0092773A">
        <w:rPr>
          <w:sz w:val="22"/>
          <w:szCs w:val="22"/>
        </w:rPr>
        <w:t>za stjecanje</w:t>
      </w:r>
      <w:r w:rsidR="007575A0" w:rsidRPr="0092773A">
        <w:rPr>
          <w:sz w:val="22"/>
          <w:szCs w:val="22"/>
        </w:rPr>
        <w:t xml:space="preserve"> kvalifikacija za pružanje investicijskih usluga (ispit L1 </w:t>
      </w:r>
      <w:r w:rsidR="00CA7477" w:rsidRPr="0092773A">
        <w:rPr>
          <w:sz w:val="22"/>
          <w:szCs w:val="22"/>
        </w:rPr>
        <w:t xml:space="preserve">– Informiranje, ispit L2 </w:t>
      </w:r>
      <w:r w:rsidR="007F6F29" w:rsidRPr="0092773A">
        <w:rPr>
          <w:sz w:val="22"/>
          <w:szCs w:val="22"/>
        </w:rPr>
        <w:t>–</w:t>
      </w:r>
      <w:r w:rsidR="00CA7477" w:rsidRPr="0092773A">
        <w:rPr>
          <w:sz w:val="22"/>
          <w:szCs w:val="22"/>
        </w:rPr>
        <w:t xml:space="preserve"> </w:t>
      </w:r>
      <w:r w:rsidR="007F6F29" w:rsidRPr="0092773A">
        <w:rPr>
          <w:sz w:val="22"/>
          <w:szCs w:val="22"/>
        </w:rPr>
        <w:t>Brokerski poslovi i ispit L3 – Investicijsko savjetovanje)</w:t>
      </w:r>
      <w:r w:rsidR="0088529B" w:rsidRPr="0092773A">
        <w:rPr>
          <w:sz w:val="22"/>
          <w:szCs w:val="22"/>
        </w:rPr>
        <w:t xml:space="preserve"> te za stjecanje zvanja ovlaštenog upravitelja mirovinskih fondova i za provjeru znanja i stjecanje kvalifikacija za upravljanje mirovinskim osiguravajućim društvom</w:t>
      </w:r>
    </w:p>
    <w:p w14:paraId="5ABB0BE5" w14:textId="77777777" w:rsidR="00E97141" w:rsidRDefault="00E97141" w:rsidP="00E97141">
      <w:pPr>
        <w:pStyle w:val="Default"/>
        <w:jc w:val="both"/>
        <w:rPr>
          <w:sz w:val="22"/>
          <w:szCs w:val="22"/>
        </w:rPr>
      </w:pPr>
    </w:p>
    <w:p w14:paraId="54C44767" w14:textId="13A61716" w:rsidR="00E97141" w:rsidRDefault="00E97141" w:rsidP="00E97141">
      <w:pPr>
        <w:pStyle w:val="Default"/>
        <w:rPr>
          <w:sz w:val="22"/>
          <w:szCs w:val="22"/>
        </w:rPr>
      </w:pPr>
      <w:r w:rsidRPr="00633493">
        <w:rPr>
          <w:sz w:val="22"/>
          <w:szCs w:val="22"/>
        </w:rPr>
        <w:t xml:space="preserve">Vrste i visine naknada određene su </w:t>
      </w:r>
      <w:hyperlink r:id="rId8" w:history="1">
        <w:r w:rsidRPr="0092773A">
          <w:rPr>
            <w:rStyle w:val="Hyperlink"/>
            <w:sz w:val="22"/>
            <w:szCs w:val="22"/>
          </w:rPr>
          <w:t xml:space="preserve">Pravilnikom o vrsti i visini naknada Hrvatske agencije za nadzor financijskih usluga (NN, br. </w:t>
        </w:r>
        <w:r w:rsidR="00B82879">
          <w:rPr>
            <w:rStyle w:val="Hyperlink"/>
            <w:sz w:val="22"/>
            <w:szCs w:val="22"/>
          </w:rPr>
          <w:t>157</w:t>
        </w:r>
        <w:r w:rsidRPr="0092773A">
          <w:rPr>
            <w:rStyle w:val="Hyperlink"/>
            <w:sz w:val="22"/>
            <w:szCs w:val="22"/>
          </w:rPr>
          <w:t>/</w:t>
        </w:r>
        <w:r w:rsidR="00B82879">
          <w:rPr>
            <w:rStyle w:val="Hyperlink"/>
            <w:sz w:val="22"/>
            <w:szCs w:val="22"/>
          </w:rPr>
          <w:t>25</w:t>
        </w:r>
        <w:r w:rsidRPr="0092773A">
          <w:rPr>
            <w:rStyle w:val="Hyperlink"/>
            <w:sz w:val="22"/>
            <w:szCs w:val="22"/>
          </w:rPr>
          <w:t>)</w:t>
        </w:r>
      </w:hyperlink>
      <w:r w:rsidRPr="0092773A">
        <w:rPr>
          <w:sz w:val="22"/>
          <w:szCs w:val="22"/>
        </w:rPr>
        <w:t>.</w:t>
      </w:r>
      <w:r w:rsidRPr="00633493">
        <w:rPr>
          <w:sz w:val="22"/>
          <w:szCs w:val="22"/>
        </w:rPr>
        <w:t xml:space="preserve"> </w:t>
      </w:r>
    </w:p>
    <w:p w14:paraId="08F413E3" w14:textId="77777777" w:rsidR="00E97141" w:rsidRPr="00633493" w:rsidRDefault="00E97141" w:rsidP="00E97141">
      <w:pPr>
        <w:pStyle w:val="Default"/>
        <w:rPr>
          <w:sz w:val="22"/>
          <w:szCs w:val="22"/>
        </w:rPr>
      </w:pPr>
    </w:p>
    <w:p w14:paraId="16AB9A4C" w14:textId="6070ACE8" w:rsidR="00E97141" w:rsidRDefault="00E97141" w:rsidP="00E97141">
      <w:pPr>
        <w:pStyle w:val="Default"/>
        <w:rPr>
          <w:sz w:val="22"/>
          <w:szCs w:val="22"/>
        </w:rPr>
      </w:pPr>
      <w:r w:rsidRPr="00633493">
        <w:rPr>
          <w:sz w:val="22"/>
          <w:szCs w:val="22"/>
        </w:rPr>
        <w:t xml:space="preserve">Detaljne upute o uplati naknada nalaze se u dokumentu </w:t>
      </w:r>
      <w:hyperlink r:id="rId9" w:history="1">
        <w:r w:rsidRPr="0092773A">
          <w:rPr>
            <w:rStyle w:val="Hyperlink"/>
            <w:sz w:val="22"/>
            <w:szCs w:val="22"/>
          </w:rPr>
          <w:t xml:space="preserve">Tehničke upute za provedbu Pravilnika o vrsti i visini naknada Hrvatske agencije za nadzor financijskih usluga (NN, br. </w:t>
        </w:r>
        <w:r w:rsidR="00B82879">
          <w:rPr>
            <w:rStyle w:val="Hyperlink"/>
            <w:sz w:val="22"/>
            <w:szCs w:val="22"/>
          </w:rPr>
          <w:t>157</w:t>
        </w:r>
        <w:r w:rsidRPr="0092773A">
          <w:rPr>
            <w:rStyle w:val="Hyperlink"/>
            <w:sz w:val="22"/>
            <w:szCs w:val="22"/>
          </w:rPr>
          <w:t>/</w:t>
        </w:r>
        <w:r w:rsidR="00B82879">
          <w:rPr>
            <w:rStyle w:val="Hyperlink"/>
            <w:sz w:val="22"/>
            <w:szCs w:val="22"/>
          </w:rPr>
          <w:t>25</w:t>
        </w:r>
        <w:r w:rsidRPr="0092773A">
          <w:rPr>
            <w:rStyle w:val="Hyperlink"/>
            <w:sz w:val="22"/>
            <w:szCs w:val="22"/>
          </w:rPr>
          <w:t>)</w:t>
        </w:r>
      </w:hyperlink>
      <w:r w:rsidRPr="0092773A">
        <w:rPr>
          <w:sz w:val="22"/>
          <w:szCs w:val="22"/>
        </w:rPr>
        <w:t>.</w:t>
      </w:r>
      <w:r w:rsidRPr="00633493">
        <w:rPr>
          <w:sz w:val="22"/>
          <w:szCs w:val="22"/>
        </w:rPr>
        <w:t xml:space="preserve"> </w:t>
      </w:r>
    </w:p>
    <w:p w14:paraId="504B1D3D" w14:textId="77777777" w:rsidR="00E97141" w:rsidRDefault="00E97141" w:rsidP="00E97141">
      <w:pPr>
        <w:pStyle w:val="Default"/>
        <w:rPr>
          <w:sz w:val="22"/>
          <w:szCs w:val="22"/>
        </w:rPr>
      </w:pPr>
    </w:p>
    <w:p w14:paraId="6CAD9FDF" w14:textId="438118CB" w:rsidR="00E97141" w:rsidRDefault="00E97141" w:rsidP="00E97141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 xml:space="preserve">Naknade se uplaćuju u korist </w:t>
      </w:r>
      <w:proofErr w:type="spellStart"/>
      <w:r w:rsidRPr="00D53078">
        <w:rPr>
          <w:b/>
          <w:sz w:val="22"/>
          <w:szCs w:val="22"/>
        </w:rPr>
        <w:t>Hanfe</w:t>
      </w:r>
      <w:proofErr w:type="spellEnd"/>
      <w:r w:rsidRPr="00D53078">
        <w:rPr>
          <w:b/>
          <w:sz w:val="22"/>
          <w:szCs w:val="22"/>
        </w:rPr>
        <w:t xml:space="preserve"> na</w:t>
      </w:r>
      <w:r>
        <w:rPr>
          <w:sz w:val="22"/>
          <w:szCs w:val="22"/>
        </w:rPr>
        <w:t xml:space="preserve"> </w:t>
      </w:r>
      <w:r w:rsidRPr="00D53078">
        <w:rPr>
          <w:b/>
          <w:sz w:val="22"/>
          <w:szCs w:val="22"/>
        </w:rPr>
        <w:t>IBAN: HR91 2390 0011 1003 29373</w:t>
      </w:r>
      <w:r>
        <w:rPr>
          <w:b/>
          <w:sz w:val="22"/>
          <w:szCs w:val="22"/>
        </w:rPr>
        <w:t>.</w:t>
      </w:r>
    </w:p>
    <w:p w14:paraId="4AA0FF29" w14:textId="77777777" w:rsidR="0088529B" w:rsidRDefault="0088529B" w:rsidP="00E97141">
      <w:pPr>
        <w:pStyle w:val="Default"/>
        <w:rPr>
          <w:b/>
          <w:sz w:val="22"/>
          <w:szCs w:val="22"/>
        </w:rPr>
      </w:pPr>
    </w:p>
    <w:p w14:paraId="5BDB31BC" w14:textId="77777777" w:rsidR="00614FE0" w:rsidRDefault="00614FE0" w:rsidP="00E97141">
      <w:pPr>
        <w:pStyle w:val="Default"/>
        <w:rPr>
          <w:b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359"/>
        <w:gridCol w:w="2268"/>
        <w:gridCol w:w="2976"/>
      </w:tblGrid>
      <w:tr w:rsidR="00E97141" w14:paraId="165D6C5B" w14:textId="77777777" w:rsidTr="00A9160B">
        <w:trPr>
          <w:trHeight w:val="553"/>
        </w:trPr>
        <w:tc>
          <w:tcPr>
            <w:tcW w:w="8359" w:type="dxa"/>
            <w:vMerge w:val="restart"/>
            <w:shd w:val="clear" w:color="auto" w:fill="BEBEBE" w:themeFill="text2"/>
          </w:tcPr>
          <w:p w14:paraId="030FDFBA" w14:textId="77777777" w:rsidR="00A9160B" w:rsidRDefault="00A9160B" w:rsidP="00A1038C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306A1AA" w14:textId="77777777" w:rsidR="00E97141" w:rsidRPr="002F5EEB" w:rsidRDefault="00E97141" w:rsidP="00A1038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F5EEB">
              <w:rPr>
                <w:b/>
                <w:sz w:val="22"/>
                <w:szCs w:val="22"/>
              </w:rPr>
              <w:t>Naziv</w:t>
            </w:r>
          </w:p>
        </w:tc>
        <w:tc>
          <w:tcPr>
            <w:tcW w:w="5244" w:type="dxa"/>
            <w:gridSpan w:val="2"/>
            <w:shd w:val="clear" w:color="auto" w:fill="BEBEBE" w:themeFill="text2"/>
          </w:tcPr>
          <w:p w14:paraId="0074A7FE" w14:textId="77777777" w:rsidR="00E97141" w:rsidRPr="002F5EEB" w:rsidRDefault="00E97141" w:rsidP="00A1038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Naknada</w:t>
            </w:r>
          </w:p>
        </w:tc>
      </w:tr>
      <w:tr w:rsidR="00E97141" w14:paraId="7D488BE4" w14:textId="77777777" w:rsidTr="00614FE0">
        <w:trPr>
          <w:trHeight w:val="422"/>
        </w:trPr>
        <w:tc>
          <w:tcPr>
            <w:tcW w:w="8359" w:type="dxa"/>
            <w:vMerge/>
            <w:shd w:val="clear" w:color="auto" w:fill="BEBEBE" w:themeFill="text2"/>
          </w:tcPr>
          <w:p w14:paraId="19129190" w14:textId="77777777" w:rsidR="00E97141" w:rsidRPr="002F5EEB" w:rsidRDefault="00E97141" w:rsidP="00A1038C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BEBEBE" w:themeFill="text2"/>
          </w:tcPr>
          <w:p w14:paraId="7867109F" w14:textId="4BFC5E20" w:rsidR="00E97141" w:rsidRPr="002F5EEB" w:rsidRDefault="00E97141" w:rsidP="00A1038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Iznos (u </w:t>
            </w:r>
            <w:r w:rsidR="00B82879">
              <w:rPr>
                <w:b/>
                <w:sz w:val="22"/>
                <w:szCs w:val="22"/>
              </w:rPr>
              <w:t>€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976" w:type="dxa"/>
            <w:shd w:val="clear" w:color="auto" w:fill="BEBEBE" w:themeFill="text2"/>
          </w:tcPr>
          <w:p w14:paraId="24F59B03" w14:textId="77777777" w:rsidR="00E97141" w:rsidRPr="002F5EEB" w:rsidRDefault="00E97141" w:rsidP="00A1038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Model i poziv na broj</w:t>
            </w:r>
          </w:p>
        </w:tc>
      </w:tr>
      <w:tr w:rsidR="00E97141" w14:paraId="4D2F4646" w14:textId="77777777" w:rsidTr="00614FE0">
        <w:trPr>
          <w:trHeight w:val="704"/>
        </w:trPr>
        <w:tc>
          <w:tcPr>
            <w:tcW w:w="8359" w:type="dxa"/>
          </w:tcPr>
          <w:p w14:paraId="632BA6CF" w14:textId="77777777" w:rsidR="00E97141" w:rsidRPr="00463374" w:rsidRDefault="00E97141" w:rsidP="00A103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E4499">
              <w:rPr>
                <w:rFonts w:ascii="Arial" w:hAnsi="Arial" w:cs="Arial"/>
              </w:rPr>
              <w:t>Po</w:t>
            </w:r>
            <w:r w:rsidR="00463374">
              <w:rPr>
                <w:rFonts w:ascii="Arial" w:hAnsi="Arial" w:cs="Arial"/>
              </w:rPr>
              <w:t xml:space="preserve">hađanje obrazovnog programa za </w:t>
            </w:r>
            <w:r w:rsidR="00463374" w:rsidRPr="00463374">
              <w:rPr>
                <w:rFonts w:ascii="Arial" w:hAnsi="Arial" w:cs="Arial"/>
              </w:rPr>
              <w:t>polaganje ispita za stjecanje kvalifikacija za pružanje investicijskih usluga</w:t>
            </w:r>
          </w:p>
        </w:tc>
        <w:tc>
          <w:tcPr>
            <w:tcW w:w="2268" w:type="dxa"/>
          </w:tcPr>
          <w:p w14:paraId="1CAB2C24" w14:textId="77777777" w:rsidR="00E97141" w:rsidRPr="00BC3C97" w:rsidRDefault="00E97141" w:rsidP="00A103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6DC92BDB" w14:textId="73FD62BC" w:rsidR="00E97141" w:rsidRPr="00BC3C97" w:rsidRDefault="00BC3C97" w:rsidP="00A103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C3C97">
              <w:rPr>
                <w:color w:val="auto"/>
                <w:sz w:val="22"/>
                <w:szCs w:val="22"/>
              </w:rPr>
              <w:t>9</w:t>
            </w:r>
            <w:r w:rsidR="00E97141" w:rsidRPr="00BC3C97">
              <w:rPr>
                <w:color w:val="auto"/>
                <w:sz w:val="22"/>
                <w:szCs w:val="22"/>
              </w:rPr>
              <w:t>00,00</w:t>
            </w:r>
          </w:p>
        </w:tc>
        <w:tc>
          <w:tcPr>
            <w:tcW w:w="2976" w:type="dxa"/>
          </w:tcPr>
          <w:p w14:paraId="59A45509" w14:textId="77777777" w:rsidR="00E97141" w:rsidRDefault="00E97141" w:rsidP="00A103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t>Model</w:t>
            </w:r>
            <w:r w:rsidRPr="008E4499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67</w:t>
            </w:r>
          </w:p>
          <w:p w14:paraId="105F2A71" w14:textId="77777777" w:rsidR="00E97141" w:rsidRPr="008E4499" w:rsidRDefault="00E97141" w:rsidP="00A103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DEBE14E" w14:textId="77777777" w:rsidR="00E97141" w:rsidRDefault="00E97141" w:rsidP="00A1038C">
            <w:pPr>
              <w:pStyle w:val="Default"/>
              <w:rPr>
                <w:sz w:val="22"/>
                <w:szCs w:val="22"/>
              </w:rPr>
            </w:pPr>
            <w:r w:rsidRPr="008E4499">
              <w:rPr>
                <w:sz w:val="22"/>
                <w:szCs w:val="22"/>
              </w:rPr>
              <w:t>Poziv na broj: OIB-123-001</w:t>
            </w:r>
          </w:p>
        </w:tc>
      </w:tr>
      <w:tr w:rsidR="00E97141" w14:paraId="0033576D" w14:textId="77777777" w:rsidTr="00614FE0">
        <w:trPr>
          <w:trHeight w:val="526"/>
        </w:trPr>
        <w:tc>
          <w:tcPr>
            <w:tcW w:w="8359" w:type="dxa"/>
          </w:tcPr>
          <w:p w14:paraId="29A7DC93" w14:textId="77777777" w:rsidR="00F57FF0" w:rsidRDefault="001033B9" w:rsidP="001033B9">
            <w:pPr>
              <w:pStyle w:val="Default"/>
              <w:rPr>
                <w:sz w:val="22"/>
                <w:szCs w:val="22"/>
              </w:rPr>
            </w:pPr>
            <w:r w:rsidRPr="001033B9">
              <w:rPr>
                <w:sz w:val="22"/>
                <w:szCs w:val="22"/>
              </w:rPr>
              <w:t>Pristupanje isp</w:t>
            </w:r>
            <w:r w:rsidR="00614FE0">
              <w:rPr>
                <w:sz w:val="22"/>
                <w:szCs w:val="22"/>
              </w:rPr>
              <w:t>itu za provjeru stručnih znanja:</w:t>
            </w:r>
          </w:p>
          <w:p w14:paraId="27C5B185" w14:textId="77777777" w:rsidR="00B405DC" w:rsidRDefault="00B405DC" w:rsidP="001033B9">
            <w:pPr>
              <w:pStyle w:val="Default"/>
              <w:rPr>
                <w:sz w:val="22"/>
                <w:szCs w:val="22"/>
              </w:rPr>
            </w:pPr>
            <w:r w:rsidRPr="007575A0">
              <w:rPr>
                <w:sz w:val="22"/>
                <w:szCs w:val="22"/>
              </w:rPr>
              <w:t>ispit L1</w:t>
            </w:r>
            <w:r>
              <w:rPr>
                <w:sz w:val="18"/>
                <w:szCs w:val="18"/>
              </w:rPr>
              <w:t xml:space="preserve"> – </w:t>
            </w:r>
            <w:r w:rsidRPr="00CA7477">
              <w:rPr>
                <w:sz w:val="22"/>
                <w:szCs w:val="22"/>
              </w:rPr>
              <w:t>Informiranje</w:t>
            </w:r>
          </w:p>
          <w:p w14:paraId="6638050B" w14:textId="77777777" w:rsidR="00B405DC" w:rsidRDefault="00B405DC" w:rsidP="001033B9">
            <w:pPr>
              <w:pStyle w:val="Default"/>
              <w:rPr>
                <w:sz w:val="22"/>
                <w:szCs w:val="22"/>
              </w:rPr>
            </w:pPr>
            <w:r w:rsidRPr="007F6F29">
              <w:rPr>
                <w:sz w:val="22"/>
                <w:szCs w:val="22"/>
              </w:rPr>
              <w:t>ispit L2 – Brokerski poslovi</w:t>
            </w:r>
          </w:p>
          <w:p w14:paraId="0E266D03" w14:textId="77777777" w:rsidR="00614FE0" w:rsidRPr="001033B9" w:rsidRDefault="00B405DC" w:rsidP="001033B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ispit L3 – Investicijsko savjetovanje</w:t>
            </w:r>
          </w:p>
        </w:tc>
        <w:tc>
          <w:tcPr>
            <w:tcW w:w="2268" w:type="dxa"/>
          </w:tcPr>
          <w:p w14:paraId="7330C2C9" w14:textId="77777777" w:rsidR="00B405DC" w:rsidRPr="00BC3C97" w:rsidRDefault="00B405DC" w:rsidP="00B405D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30AD89CA" w14:textId="7AF7250A" w:rsidR="00E97141" w:rsidRPr="00BC3C97" w:rsidRDefault="00BC3C97" w:rsidP="00B405D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C3C97">
              <w:rPr>
                <w:color w:val="auto"/>
                <w:sz w:val="22"/>
                <w:szCs w:val="22"/>
              </w:rPr>
              <w:t>300</w:t>
            </w:r>
            <w:r w:rsidR="00E97141" w:rsidRPr="00BC3C97">
              <w:rPr>
                <w:color w:val="auto"/>
                <w:sz w:val="22"/>
                <w:szCs w:val="22"/>
              </w:rPr>
              <w:t>,00</w:t>
            </w:r>
          </w:p>
        </w:tc>
        <w:tc>
          <w:tcPr>
            <w:tcW w:w="2976" w:type="dxa"/>
          </w:tcPr>
          <w:p w14:paraId="0C8BCC19" w14:textId="77777777" w:rsidR="00614FE0" w:rsidRDefault="00614FE0" w:rsidP="00614F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4FE0">
              <w:rPr>
                <w:rFonts w:ascii="Arial" w:hAnsi="Arial" w:cs="Arial"/>
              </w:rPr>
              <w:t>Model: 67</w:t>
            </w:r>
          </w:p>
          <w:p w14:paraId="6A219A05" w14:textId="77777777" w:rsidR="00B405DC" w:rsidRPr="00614FE0" w:rsidRDefault="00B405DC" w:rsidP="00614F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61EA1D6" w14:textId="77777777" w:rsidR="00E97141" w:rsidRPr="001033B9" w:rsidRDefault="00614FE0" w:rsidP="00614FE0">
            <w:pPr>
              <w:pStyle w:val="Default"/>
              <w:rPr>
                <w:sz w:val="22"/>
                <w:szCs w:val="22"/>
                <w:highlight w:val="yellow"/>
              </w:rPr>
            </w:pPr>
            <w:r w:rsidRPr="00614FE0">
              <w:rPr>
                <w:sz w:val="22"/>
                <w:szCs w:val="22"/>
              </w:rPr>
              <w:t>Poziv na broj: OIB-111-014</w:t>
            </w:r>
          </w:p>
        </w:tc>
      </w:tr>
      <w:tr w:rsidR="00AE59CF" w14:paraId="35FAAE88" w14:textId="77777777" w:rsidTr="00AE59CF">
        <w:trPr>
          <w:trHeight w:val="885"/>
        </w:trPr>
        <w:tc>
          <w:tcPr>
            <w:tcW w:w="8359" w:type="dxa"/>
          </w:tcPr>
          <w:p w14:paraId="1E710D7C" w14:textId="1E90F831" w:rsidR="001D6FFF" w:rsidRPr="00AE59CF" w:rsidRDefault="00AE59CF" w:rsidP="001D6FF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E59CF">
              <w:rPr>
                <w:rFonts w:ascii="Arial" w:hAnsi="Arial" w:cs="Arial"/>
              </w:rPr>
              <w:t xml:space="preserve"> Pohađanje obrazovnog programa za:</w:t>
            </w:r>
          </w:p>
          <w:p w14:paraId="729BF1C1" w14:textId="77777777" w:rsidR="001D6FFF" w:rsidRDefault="00AE59CF" w:rsidP="001D6FFF">
            <w:pPr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</w:rPr>
            </w:pPr>
            <w:r w:rsidRPr="00AE59CF">
              <w:rPr>
                <w:rFonts w:ascii="Arial" w:hAnsi="Arial" w:cs="Arial"/>
              </w:rPr>
              <w:t xml:space="preserve">-stjecanje zvanja ovlaštenog upravitelja mirovinskih fondova </w:t>
            </w:r>
          </w:p>
          <w:p w14:paraId="3E6907FC" w14:textId="13E5D152" w:rsidR="00AE59CF" w:rsidRPr="00AE59CF" w:rsidRDefault="00AE59CF" w:rsidP="001D6FFF">
            <w:pPr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</w:rPr>
            </w:pPr>
            <w:r w:rsidRPr="00AE59CF">
              <w:t>-stjecanje zvanja ovlaštenog upravitelja mirovinskog osiguravajućeg društva</w:t>
            </w:r>
          </w:p>
        </w:tc>
        <w:tc>
          <w:tcPr>
            <w:tcW w:w="2268" w:type="dxa"/>
          </w:tcPr>
          <w:p w14:paraId="51FAA141" w14:textId="77777777" w:rsidR="00291829" w:rsidRPr="00BC3C97" w:rsidRDefault="00291829" w:rsidP="00B405D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5E642E9A" w14:textId="0A676723" w:rsidR="00AE59CF" w:rsidRPr="00BC3C97" w:rsidRDefault="00BC3C97" w:rsidP="00B405D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C3C97">
              <w:rPr>
                <w:color w:val="auto"/>
                <w:sz w:val="22"/>
                <w:szCs w:val="22"/>
              </w:rPr>
              <w:t>9</w:t>
            </w:r>
            <w:r w:rsidR="00AE59CF" w:rsidRPr="00BC3C97">
              <w:rPr>
                <w:color w:val="auto"/>
                <w:sz w:val="22"/>
                <w:szCs w:val="22"/>
              </w:rPr>
              <w:t>00,00</w:t>
            </w:r>
          </w:p>
        </w:tc>
        <w:tc>
          <w:tcPr>
            <w:tcW w:w="2976" w:type="dxa"/>
          </w:tcPr>
          <w:p w14:paraId="23A67741" w14:textId="77777777" w:rsidR="00AE59CF" w:rsidRPr="00AE59CF" w:rsidRDefault="00AE59CF" w:rsidP="00AE59CF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</w:rPr>
            </w:pPr>
            <w:r w:rsidRPr="00AE59CF">
              <w:t>Model</w:t>
            </w:r>
            <w:r w:rsidRPr="00AE59CF">
              <w:rPr>
                <w:rFonts w:ascii="Arial" w:hAnsi="Arial" w:cs="Arial"/>
              </w:rPr>
              <w:t>: 67</w:t>
            </w:r>
          </w:p>
          <w:p w14:paraId="4439B288" w14:textId="77777777" w:rsidR="00AE59CF" w:rsidRPr="00AE59CF" w:rsidRDefault="00AE59CF" w:rsidP="00AE59CF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</w:rPr>
            </w:pPr>
          </w:p>
          <w:p w14:paraId="445CC4E7" w14:textId="7482F4E7" w:rsidR="00AE59CF" w:rsidRPr="00614FE0" w:rsidRDefault="00AE59CF" w:rsidP="00AE59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E59CF">
              <w:t>Poziv na broj: OIB-123-001</w:t>
            </w:r>
          </w:p>
        </w:tc>
      </w:tr>
      <w:tr w:rsidR="00AE59CF" w14:paraId="69437073" w14:textId="77777777" w:rsidTr="00291829">
        <w:trPr>
          <w:trHeight w:val="558"/>
        </w:trPr>
        <w:tc>
          <w:tcPr>
            <w:tcW w:w="8359" w:type="dxa"/>
          </w:tcPr>
          <w:p w14:paraId="168AD4B0" w14:textId="5895DCDC" w:rsidR="0088529B" w:rsidRDefault="00AE59CF" w:rsidP="008852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529B">
              <w:rPr>
                <w:rFonts w:cstheme="minorHAnsi"/>
              </w:rPr>
              <w:lastRenderedPageBreak/>
              <w:t>Pristupanje ispitu za stjecanje zvanja ovlaštenog upravitelja mirovinskih fondova</w:t>
            </w:r>
            <w:r w:rsidR="0088529B" w:rsidRPr="0088529B">
              <w:rPr>
                <w:rFonts w:cstheme="minorHAnsi"/>
              </w:rPr>
              <w:t xml:space="preserve"> -  </w:t>
            </w:r>
            <w:r w:rsidR="0088529B">
              <w:rPr>
                <w:rFonts w:cstheme="minorHAnsi"/>
              </w:rPr>
              <w:t xml:space="preserve">članak 31. stavak </w:t>
            </w:r>
            <w:r w:rsidR="0088529B" w:rsidRPr="0088529B">
              <w:rPr>
                <w:rFonts w:cstheme="minorHAnsi"/>
              </w:rPr>
              <w:t xml:space="preserve">7. ZOMF-a </w:t>
            </w:r>
          </w:p>
          <w:p w14:paraId="413DD450" w14:textId="0AD8EE16" w:rsidR="00AE59CF" w:rsidRPr="0088529B" w:rsidRDefault="00AE59CF" w:rsidP="008852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8CC7687" w14:textId="77777777" w:rsidR="00291829" w:rsidRPr="00BC3C97" w:rsidRDefault="00291829" w:rsidP="00B405D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7C06CF36" w14:textId="26099982" w:rsidR="00AE59CF" w:rsidRPr="00BC3C97" w:rsidRDefault="00BC3C97" w:rsidP="00B405D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C3C97">
              <w:rPr>
                <w:color w:val="auto"/>
                <w:sz w:val="22"/>
                <w:szCs w:val="22"/>
              </w:rPr>
              <w:t>300</w:t>
            </w:r>
            <w:r w:rsidR="00AE59CF" w:rsidRPr="00BC3C97">
              <w:rPr>
                <w:color w:val="auto"/>
                <w:sz w:val="22"/>
                <w:szCs w:val="22"/>
              </w:rPr>
              <w:t>,00</w:t>
            </w:r>
          </w:p>
        </w:tc>
        <w:tc>
          <w:tcPr>
            <w:tcW w:w="2976" w:type="dxa"/>
          </w:tcPr>
          <w:p w14:paraId="337A5573" w14:textId="77777777" w:rsidR="00AE59CF" w:rsidRPr="00AE59CF" w:rsidRDefault="00AE59CF" w:rsidP="00AE59CF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</w:rPr>
            </w:pPr>
            <w:r w:rsidRPr="00AE59CF">
              <w:rPr>
                <w:rFonts w:ascii="Arial" w:hAnsi="Arial" w:cs="Arial"/>
              </w:rPr>
              <w:t>Model:  67</w:t>
            </w:r>
          </w:p>
          <w:p w14:paraId="2C4835C4" w14:textId="5BE6D435" w:rsidR="00AE59CF" w:rsidRDefault="00AE59CF" w:rsidP="00AE59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E59CF">
              <w:rPr>
                <w:rFonts w:ascii="Arial" w:hAnsi="Arial" w:cs="Arial"/>
              </w:rPr>
              <w:t>Poziv na broj: OIB-116-007</w:t>
            </w:r>
          </w:p>
        </w:tc>
      </w:tr>
      <w:tr w:rsidR="0088529B" w14:paraId="6AAB3FCE" w14:textId="77777777" w:rsidTr="005930A0">
        <w:trPr>
          <w:trHeight w:val="476"/>
        </w:trPr>
        <w:tc>
          <w:tcPr>
            <w:tcW w:w="8359" w:type="dxa"/>
          </w:tcPr>
          <w:p w14:paraId="117DD908" w14:textId="1C98BF26" w:rsidR="0088529B" w:rsidRPr="00291829" w:rsidRDefault="00291829" w:rsidP="0029182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91829">
              <w:rPr>
                <w:rFonts w:ascii="Arial" w:hAnsi="Arial" w:cs="Arial"/>
              </w:rPr>
              <w:t>Pristupanje ispitu za stjecanje zvanja ovlaštenog upravitelja mirovins</w:t>
            </w:r>
            <w:r>
              <w:rPr>
                <w:rFonts w:ascii="Arial" w:hAnsi="Arial" w:cs="Arial"/>
              </w:rPr>
              <w:t xml:space="preserve">kih fondova - članak 42. stavak </w:t>
            </w:r>
            <w:r w:rsidRPr="00291829">
              <w:rPr>
                <w:rFonts w:ascii="Arial" w:hAnsi="Arial" w:cs="Arial"/>
              </w:rPr>
              <w:t>7. ZDMF-a</w:t>
            </w:r>
          </w:p>
        </w:tc>
        <w:tc>
          <w:tcPr>
            <w:tcW w:w="2268" w:type="dxa"/>
          </w:tcPr>
          <w:p w14:paraId="23FBC44D" w14:textId="28684241" w:rsidR="0088529B" w:rsidRPr="00BC3C97" w:rsidRDefault="00BC3C97" w:rsidP="00B405D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C3C97">
              <w:rPr>
                <w:color w:val="auto"/>
                <w:sz w:val="22"/>
                <w:szCs w:val="22"/>
              </w:rPr>
              <w:t>300</w:t>
            </w:r>
            <w:r w:rsidR="00291829" w:rsidRPr="00BC3C97">
              <w:rPr>
                <w:color w:val="auto"/>
                <w:sz w:val="22"/>
                <w:szCs w:val="22"/>
              </w:rPr>
              <w:t>,00</w:t>
            </w:r>
          </w:p>
        </w:tc>
        <w:tc>
          <w:tcPr>
            <w:tcW w:w="2976" w:type="dxa"/>
          </w:tcPr>
          <w:p w14:paraId="5FB5E886" w14:textId="77777777" w:rsidR="00291829" w:rsidRPr="00291829" w:rsidRDefault="00291829" w:rsidP="0029182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91829">
              <w:rPr>
                <w:rFonts w:ascii="Arial" w:hAnsi="Arial" w:cs="Arial"/>
              </w:rPr>
              <w:t>Model: 67</w:t>
            </w:r>
          </w:p>
          <w:p w14:paraId="0CA680E3" w14:textId="60A655B0" w:rsidR="0088529B" w:rsidRPr="00AE59CF" w:rsidRDefault="00291829" w:rsidP="0029182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91829">
              <w:rPr>
                <w:rFonts w:ascii="Arial" w:hAnsi="Arial" w:cs="Arial"/>
              </w:rPr>
              <w:t>Poziv na broj: OIB-117-007</w:t>
            </w:r>
          </w:p>
        </w:tc>
      </w:tr>
      <w:tr w:rsidR="00AE59CF" w14:paraId="705A3731" w14:textId="77777777" w:rsidTr="00614FE0">
        <w:trPr>
          <w:trHeight w:val="526"/>
        </w:trPr>
        <w:tc>
          <w:tcPr>
            <w:tcW w:w="8359" w:type="dxa"/>
          </w:tcPr>
          <w:p w14:paraId="67E9CF8C" w14:textId="19FDADEE" w:rsidR="00AE59CF" w:rsidRPr="00AE59CF" w:rsidRDefault="00AE59CF" w:rsidP="001033B9">
            <w:pPr>
              <w:pStyle w:val="Default"/>
              <w:rPr>
                <w:sz w:val="22"/>
                <w:szCs w:val="22"/>
              </w:rPr>
            </w:pPr>
            <w:r w:rsidRPr="00AE59CF">
              <w:rPr>
                <w:sz w:val="22"/>
                <w:szCs w:val="22"/>
              </w:rPr>
              <w:t>Pristupanje ispitu za provjeru znanja i stjecanje kvalifikacija za upravljanje mirovinskim osiguravajućim društvom</w:t>
            </w:r>
          </w:p>
        </w:tc>
        <w:tc>
          <w:tcPr>
            <w:tcW w:w="2268" w:type="dxa"/>
          </w:tcPr>
          <w:p w14:paraId="0FCC1F27" w14:textId="1D4B95AB" w:rsidR="00AE59CF" w:rsidRPr="00BC3C97" w:rsidRDefault="00BC3C97" w:rsidP="00B405D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C3C97">
              <w:rPr>
                <w:color w:val="auto"/>
                <w:sz w:val="22"/>
                <w:szCs w:val="22"/>
              </w:rPr>
              <w:t>3</w:t>
            </w:r>
            <w:r w:rsidR="00AE59CF" w:rsidRPr="00BC3C97">
              <w:rPr>
                <w:color w:val="auto"/>
                <w:sz w:val="22"/>
                <w:szCs w:val="22"/>
              </w:rPr>
              <w:t>00,00</w:t>
            </w:r>
          </w:p>
        </w:tc>
        <w:tc>
          <w:tcPr>
            <w:tcW w:w="2976" w:type="dxa"/>
          </w:tcPr>
          <w:p w14:paraId="6A53D293" w14:textId="77777777" w:rsidR="005930A0" w:rsidRPr="005930A0" w:rsidRDefault="005930A0" w:rsidP="005930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930A0">
              <w:rPr>
                <w:rFonts w:ascii="Arial" w:hAnsi="Arial" w:cs="Arial"/>
              </w:rPr>
              <w:t>Model: 67</w:t>
            </w:r>
          </w:p>
          <w:p w14:paraId="24D3E739" w14:textId="2CC2411F" w:rsidR="00AE59CF" w:rsidRPr="005930A0" w:rsidRDefault="005930A0" w:rsidP="005930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930A0">
              <w:rPr>
                <w:rFonts w:ascii="Arial" w:hAnsi="Arial" w:cs="Arial"/>
              </w:rPr>
              <w:t>Poziv na broj: OIB-119-012</w:t>
            </w:r>
          </w:p>
        </w:tc>
      </w:tr>
    </w:tbl>
    <w:p w14:paraId="4CADAB6A" w14:textId="77777777" w:rsidR="00614FE0" w:rsidRDefault="00614FE0" w:rsidP="00214FAA">
      <w:pPr>
        <w:pStyle w:val="Default"/>
        <w:jc w:val="both"/>
        <w:rPr>
          <w:b/>
          <w:bCs/>
          <w:sz w:val="22"/>
          <w:szCs w:val="22"/>
        </w:rPr>
      </w:pPr>
    </w:p>
    <w:p w14:paraId="6F3AFCF4" w14:textId="2AB15564" w:rsidR="000B242B" w:rsidRDefault="000B242B" w:rsidP="000B242B">
      <w:pPr>
        <w:pStyle w:val="Default"/>
        <w:jc w:val="both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* </w:t>
      </w:r>
      <w:r>
        <w:rPr>
          <w:sz w:val="18"/>
          <w:szCs w:val="18"/>
        </w:rPr>
        <w:t>Obrazovni program je jedinstven te obuhvaća predavanja za stjecanje zvanja ovlaštenog upravitelja mirovinskih fondova, za stjecanje</w:t>
      </w:r>
      <w:r w:rsidR="00704C9D">
        <w:rPr>
          <w:sz w:val="18"/>
          <w:szCs w:val="18"/>
        </w:rPr>
        <w:t xml:space="preserve"> kvalifikacija za upravljanje mirovinskim osiguravajućim društvom</w:t>
      </w:r>
      <w:r>
        <w:rPr>
          <w:sz w:val="18"/>
          <w:szCs w:val="18"/>
        </w:rPr>
        <w:t>,</w:t>
      </w:r>
      <w:r w:rsidRPr="000E21CD">
        <w:rPr>
          <w:sz w:val="18"/>
          <w:szCs w:val="18"/>
        </w:rPr>
        <w:t xml:space="preserve"> za stjecanje kvalifikacija za pružanje investicijskih </w:t>
      </w:r>
      <w:r>
        <w:rPr>
          <w:sz w:val="18"/>
          <w:szCs w:val="18"/>
        </w:rPr>
        <w:t xml:space="preserve">usluga, </w:t>
      </w:r>
      <w:r w:rsidRPr="000E21CD">
        <w:rPr>
          <w:sz w:val="18"/>
          <w:szCs w:val="18"/>
        </w:rPr>
        <w:t xml:space="preserve">odnosno, pokriva materiju svih ispita (za ovlaštenog upravitelja mirovinskih fondova, </w:t>
      </w:r>
      <w:r>
        <w:rPr>
          <w:sz w:val="18"/>
          <w:szCs w:val="18"/>
        </w:rPr>
        <w:t xml:space="preserve">za provjeru znanja i stjecanje kvalifikacija za upravljanje mirovinskim osiguravajućim društvom, za stjecanje kvalifikacija za pružanje investicijskih usluga: ispit L1 Informiranje, ispit L2 Brokerski poslovi i ispit </w:t>
      </w:r>
      <w:r w:rsidRPr="00FA7430">
        <w:rPr>
          <w:sz w:val="18"/>
          <w:szCs w:val="18"/>
        </w:rPr>
        <w:t xml:space="preserve">L3 </w:t>
      </w:r>
      <w:r>
        <w:rPr>
          <w:sz w:val="18"/>
          <w:szCs w:val="18"/>
        </w:rPr>
        <w:t>I</w:t>
      </w:r>
      <w:r w:rsidRPr="00FA7430">
        <w:rPr>
          <w:sz w:val="18"/>
          <w:szCs w:val="18"/>
        </w:rPr>
        <w:t>nvesticijsko savjetovanje).</w:t>
      </w:r>
      <w:r>
        <w:rPr>
          <w:sz w:val="18"/>
          <w:szCs w:val="18"/>
        </w:rPr>
        <w:t xml:space="preserve"> Zainteresirane osobe se prijavljuju za pohađanje jedinstvenog obrazovnog programa i uplaćuju navedenu naknadu bez obzira na to koje kolegije žele slušati s obzirom na kasnije polaganje ispita te mogu pohađati sva predavanja ili samo ona za koja su zainteresirane.</w:t>
      </w:r>
    </w:p>
    <w:p w14:paraId="3C6DFE77" w14:textId="77777777" w:rsidR="00214FAA" w:rsidRDefault="00214FAA" w:rsidP="000B242B">
      <w:pPr>
        <w:pStyle w:val="Default"/>
        <w:jc w:val="both"/>
        <w:rPr>
          <w:sz w:val="18"/>
          <w:szCs w:val="18"/>
        </w:rPr>
      </w:pPr>
    </w:p>
    <w:p w14:paraId="62C7E303" w14:textId="77777777" w:rsidR="00E97141" w:rsidRDefault="00E97141" w:rsidP="00214FAA">
      <w:pPr>
        <w:pStyle w:val="Default"/>
      </w:pPr>
    </w:p>
    <w:p w14:paraId="295CC461" w14:textId="77777777" w:rsidR="00E97141" w:rsidRDefault="00E97141" w:rsidP="00E97141">
      <w:pPr>
        <w:pStyle w:val="Default"/>
        <w:rPr>
          <w:sz w:val="18"/>
          <w:szCs w:val="18"/>
        </w:rPr>
      </w:pPr>
    </w:p>
    <w:p w14:paraId="36899416" w14:textId="2BBBBA0D" w:rsidR="00614FE0" w:rsidRDefault="00614FE0" w:rsidP="00E97141">
      <w:pPr>
        <w:pStyle w:val="Default"/>
        <w:rPr>
          <w:b/>
          <w:bCs/>
          <w:sz w:val="20"/>
          <w:szCs w:val="20"/>
        </w:rPr>
      </w:pPr>
    </w:p>
    <w:p w14:paraId="5702E077" w14:textId="77777777" w:rsidR="00614FE0" w:rsidRDefault="00614FE0" w:rsidP="00E97141">
      <w:pPr>
        <w:pStyle w:val="Default"/>
        <w:rPr>
          <w:b/>
          <w:bCs/>
          <w:sz w:val="20"/>
          <w:szCs w:val="20"/>
        </w:rPr>
      </w:pPr>
    </w:p>
    <w:p w14:paraId="246A1238" w14:textId="77777777" w:rsidR="00E97141" w:rsidRDefault="00E97141" w:rsidP="00E97141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Povrat uplaćenih naknada u slučaju odustajanja kandidata od pohađanja obrazovnog programa ili od pristupanja polaganju ispita: </w:t>
      </w:r>
    </w:p>
    <w:p w14:paraId="1449B1C8" w14:textId="77777777" w:rsidR="00E97141" w:rsidRDefault="00E97141" w:rsidP="00E97141">
      <w:pPr>
        <w:pStyle w:val="Default"/>
        <w:rPr>
          <w:sz w:val="20"/>
          <w:szCs w:val="20"/>
        </w:rPr>
      </w:pPr>
    </w:p>
    <w:p w14:paraId="6A360B6A" w14:textId="346C43CB" w:rsidR="00E97141" w:rsidRDefault="00E97141" w:rsidP="00E97141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Hanfa će vratiti uplaćenu naknadu za pohađanje obrazovnog programa u slučaju pisane obavijesti kandidata o odustajanju od pohađanja obrazovnog programa najkasnije pet dana prije održavanja obrazovnog programa. Obavijest o odustajanju od pohađanja obrazovnog programa prijavljeni kandidat može dostaviti na adresu elektroničke pošte: </w:t>
      </w:r>
      <w:hyperlink r:id="rId10" w:history="1">
        <w:r w:rsidR="00A415C1" w:rsidRPr="00AD6927">
          <w:rPr>
            <w:rStyle w:val="Hyperlink"/>
            <w:sz w:val="20"/>
            <w:szCs w:val="20"/>
          </w:rPr>
          <w:t>ispiti@hanfa.hr</w:t>
        </w:r>
      </w:hyperlink>
      <w:r>
        <w:rPr>
          <w:sz w:val="20"/>
          <w:szCs w:val="20"/>
        </w:rPr>
        <w:t xml:space="preserve"> ili adresu </w:t>
      </w:r>
      <w:proofErr w:type="spellStart"/>
      <w:r>
        <w:rPr>
          <w:sz w:val="20"/>
          <w:szCs w:val="20"/>
        </w:rPr>
        <w:t>Hanfe</w:t>
      </w:r>
      <w:proofErr w:type="spellEnd"/>
      <w:r>
        <w:rPr>
          <w:sz w:val="20"/>
          <w:szCs w:val="20"/>
        </w:rPr>
        <w:t xml:space="preserve">, Franje Račkoga 6, Zagreb. Uz obavijest potrebno je priložiti ispunjeni obrazac </w:t>
      </w:r>
      <w:hyperlink r:id="rId11" w:history="1">
        <w:r w:rsidRPr="00A26B3F">
          <w:rPr>
            <w:rStyle w:val="Hyperlink"/>
            <w:sz w:val="20"/>
            <w:szCs w:val="20"/>
          </w:rPr>
          <w:t>Zahtjeva za povrat uplaćenih sredstava</w:t>
        </w:r>
      </w:hyperlink>
      <w:r w:rsidRPr="00A26B3F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3660BF78" w14:textId="77777777" w:rsidR="00E97141" w:rsidRDefault="00E97141" w:rsidP="00E97141">
      <w:pPr>
        <w:pStyle w:val="Default"/>
        <w:rPr>
          <w:sz w:val="20"/>
          <w:szCs w:val="20"/>
        </w:rPr>
      </w:pPr>
    </w:p>
    <w:p w14:paraId="389E2FE4" w14:textId="447DB271" w:rsidR="00E97141" w:rsidRPr="00A40CF8" w:rsidRDefault="00E97141" w:rsidP="00A40CF8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Hanfa će vratiti uplaćenu naknadu za pristupanje polaganju ispita L1 </w:t>
      </w:r>
      <w:r w:rsidRPr="0092773A">
        <w:rPr>
          <w:sz w:val="20"/>
          <w:szCs w:val="20"/>
        </w:rPr>
        <w:t>Informiranje, L2 Brokerski poslovi , L3 Investicijsko savjetovanje, ovlaštenog upravitelja mirovinskih fondova ili ovlaštenog upravitelja mirovinskih osiguravajućih društava u slučaju pisan</w:t>
      </w:r>
      <w:r>
        <w:rPr>
          <w:sz w:val="20"/>
          <w:szCs w:val="20"/>
        </w:rPr>
        <w:t xml:space="preserve">e obavijesti kandidata o odustajanju od pristupanja polaganju ispitu najkasnije dva radna dana prije održavanja ispita. Obavijest o odustajanju od pristupanja polaganju ispita prijavljeni kandidat može dostaviti na adresu elektroničke pošte: </w:t>
      </w:r>
      <w:hyperlink r:id="rId12" w:history="1">
        <w:r w:rsidR="00A415C1" w:rsidRPr="00AD6927">
          <w:rPr>
            <w:rStyle w:val="Hyperlink"/>
            <w:sz w:val="20"/>
            <w:szCs w:val="20"/>
          </w:rPr>
          <w:t>ispiti@hanfa.hr</w:t>
        </w:r>
      </w:hyperlink>
      <w:r w:rsidR="00A40CF8">
        <w:rPr>
          <w:sz w:val="20"/>
          <w:szCs w:val="20"/>
        </w:rPr>
        <w:t xml:space="preserve">  </w:t>
      </w:r>
      <w:r w:rsidRPr="00A40CF8">
        <w:rPr>
          <w:sz w:val="20"/>
          <w:szCs w:val="20"/>
        </w:rPr>
        <w:t xml:space="preserve">ili adresu </w:t>
      </w:r>
      <w:proofErr w:type="spellStart"/>
      <w:r w:rsidRPr="00A40CF8">
        <w:rPr>
          <w:sz w:val="20"/>
          <w:szCs w:val="20"/>
        </w:rPr>
        <w:t>Hanfe</w:t>
      </w:r>
      <w:proofErr w:type="spellEnd"/>
      <w:r w:rsidRPr="00A40CF8">
        <w:rPr>
          <w:sz w:val="20"/>
          <w:szCs w:val="20"/>
        </w:rPr>
        <w:t xml:space="preserve">, Franje Račkoga 6, Zagreb. Uz obavijest potrebno je priložiti ispunjeni </w:t>
      </w:r>
      <w:r w:rsidRPr="00A26B3F">
        <w:rPr>
          <w:sz w:val="20"/>
          <w:szCs w:val="20"/>
        </w:rPr>
        <w:t xml:space="preserve">obrazac </w:t>
      </w:r>
      <w:hyperlink r:id="rId13" w:history="1">
        <w:r w:rsidRPr="00A26B3F">
          <w:rPr>
            <w:rStyle w:val="Hyperlink"/>
            <w:sz w:val="20"/>
            <w:szCs w:val="20"/>
          </w:rPr>
          <w:t>Zahtjeva za povrat uplaćenih sredstava</w:t>
        </w:r>
      </w:hyperlink>
      <w:r w:rsidRPr="00A26B3F">
        <w:rPr>
          <w:sz w:val="20"/>
          <w:szCs w:val="20"/>
        </w:rPr>
        <w:t>.</w:t>
      </w:r>
      <w:r w:rsidRPr="00A40CF8">
        <w:rPr>
          <w:sz w:val="20"/>
          <w:szCs w:val="20"/>
        </w:rPr>
        <w:t xml:space="preserve"> </w:t>
      </w:r>
    </w:p>
    <w:p w14:paraId="27A01ABE" w14:textId="77777777" w:rsidR="00E97141" w:rsidRPr="00633493" w:rsidRDefault="00E97141" w:rsidP="00E97141">
      <w:pPr>
        <w:pStyle w:val="Default"/>
        <w:rPr>
          <w:sz w:val="22"/>
          <w:szCs w:val="22"/>
        </w:rPr>
      </w:pPr>
    </w:p>
    <w:p w14:paraId="442EA77E" w14:textId="77777777" w:rsidR="008C4E1A" w:rsidRDefault="008C4E1A"/>
    <w:sectPr w:rsidR="008C4E1A" w:rsidSect="0063349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D5520"/>
    <w:multiLevelType w:val="hybridMultilevel"/>
    <w:tmpl w:val="97260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141"/>
    <w:rsid w:val="00084F9F"/>
    <w:rsid w:val="000A1780"/>
    <w:rsid w:val="000B242B"/>
    <w:rsid w:val="000E4D33"/>
    <w:rsid w:val="001033B9"/>
    <w:rsid w:val="001D6FFF"/>
    <w:rsid w:val="00214FAA"/>
    <w:rsid w:val="00291829"/>
    <w:rsid w:val="00340ED4"/>
    <w:rsid w:val="003E2FC8"/>
    <w:rsid w:val="00463374"/>
    <w:rsid w:val="004B6986"/>
    <w:rsid w:val="00527E85"/>
    <w:rsid w:val="005930A0"/>
    <w:rsid w:val="00614FE0"/>
    <w:rsid w:val="00704C9D"/>
    <w:rsid w:val="007575A0"/>
    <w:rsid w:val="007F6F29"/>
    <w:rsid w:val="00812435"/>
    <w:rsid w:val="00865522"/>
    <w:rsid w:val="0087789E"/>
    <w:rsid w:val="0088529B"/>
    <w:rsid w:val="008C4E1A"/>
    <w:rsid w:val="0092773A"/>
    <w:rsid w:val="00970C6F"/>
    <w:rsid w:val="00A26B3F"/>
    <w:rsid w:val="00A40CF8"/>
    <w:rsid w:val="00A415C1"/>
    <w:rsid w:val="00A9160B"/>
    <w:rsid w:val="00AD43FE"/>
    <w:rsid w:val="00AE59CF"/>
    <w:rsid w:val="00B405DC"/>
    <w:rsid w:val="00B82879"/>
    <w:rsid w:val="00BC3C97"/>
    <w:rsid w:val="00C41C91"/>
    <w:rsid w:val="00CA7477"/>
    <w:rsid w:val="00DB3BF4"/>
    <w:rsid w:val="00E55D5F"/>
    <w:rsid w:val="00E97141"/>
    <w:rsid w:val="00F254F2"/>
    <w:rsid w:val="00F57FF0"/>
    <w:rsid w:val="00FB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4CF9E"/>
  <w15:chartTrackingRefBased/>
  <w15:docId w15:val="{3B082531-809F-417C-95FB-9CCEB81C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1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7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97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7141"/>
    <w:rPr>
      <w:color w:val="3E68A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C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full/2025_12_157_2374.html" TargetMode="External"/><Relationship Id="rId13" Type="http://schemas.openxmlformats.org/officeDocument/2006/relationships/hyperlink" Target="https://www.hanfa.hr/media/3634/obrazac-zahtjeva-za-povrat-upla&#263;enih-sredstava-1-2.doc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spiti@hanfa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anfa.hr/media/3634/obrazac-zahtjeva-za-povrat-upla&#263;enih-sredstava-1-2.doc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spiti@hanfa.h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hanfa.hr/media/5upahahx/tehni%C4%8Dka-uputa_pravilnik-157-2025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14</BrKolegija>
    <Izreka xmlns="d8745bc5-821e-4205-946a-621c2da728c8" xsi:nil="true"/>
    <VrstaPredmeta xmlns="d8745bc5-821e-4205-946a-621c2da728c8">-</VrstaPredmeta>
    <TipPredmeta xmlns="d8745bc5-821e-4205-946a-621c2da728c8">-</TipPredmeta>
    <Prezentira xmlns="d8745bc5-821e-4205-946a-621c2da728c8">
      <UserInfo>
        <DisplayName/>
        <AccountId xsi:nil="true"/>
        <AccountType/>
      </UserInfo>
    </Prezentira>
    <VrstaDokumenta xmlns="d8745bc5-821e-4205-946a-621c2da728c8">-</VrstaDokumenta>
    <KategorijaPoslovanja xmlns="d8745bc5-821e-4205-946a-621c2da728c8">
      <Value>-</Value>
    </KategorijaPoslovanja>
    <Dileme xmlns="d8745bc5-821e-4205-946a-621c2da728c8" xsi:nil="true"/>
    <StatusDokumenta xmlns="d8745bc5-821e-4205-946a-621c2da728c8">-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Sazetak xmlns="d8745bc5-821e-4205-946a-621c2da728c8" xsi:nil="true"/>
    <NaslovTo_x010d_ke xmlns="78f22ebb-1672-409c-861e-2e3852ec77f2" xsi:nil="true"/>
    <NamjenaDokumenta xmlns="d8745bc5-821e-4205-946a-621c2da728c8">
      <Value>Interno</Value>
    </NamjenaDokumenta>
    <Godina xmlns="d8745bc5-821e-4205-946a-621c2da728c8">-</Godin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01D9876EA684985838004C554164F" ma:contentTypeVersion="20" ma:contentTypeDescription="Create a new document." ma:contentTypeScope="" ma:versionID="3c83733ea3c1b578221e46e49c86d60a">
  <xsd:schema xmlns:xsd="http://www.w3.org/2001/XMLSchema" xmlns:xs="http://www.w3.org/2001/XMLSchema" xmlns:p="http://schemas.microsoft.com/office/2006/metadata/properties" xmlns:ns2="78f22ebb-1672-409c-861e-2e3852ec77f2" xmlns:ns3="d8745bc5-821e-4205-946a-621c2da728c8" targetNamespace="http://schemas.microsoft.com/office/2006/metadata/properties" ma:root="true" ma:fieldsID="f5007fd77545d9c34843705f7d4db855" ns2:_="" ns3:_="">
    <xsd:import namespace="78f22ebb-1672-409c-861e-2e3852ec77f2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VrstaPredmeta" minOccurs="0"/>
                <xsd:element ref="ns3:TipPredme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22ebb-1672-409c-861e-2e3852ec77f2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nillable="true" ma:displayName="VrstaPredmeta" ma:default="-" ma:description="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-"/>
        </xsd:restriction>
      </xsd:simpleType>
    </xsd:element>
    <xsd:element name="BrKolegija" ma:index="9" nillable="true" ma:displayName="BrKolegija" ma:decimals="2" ma:default="14" ma:description="Broj kolegija u YY.NN formatu (npr. 14.01)" ma:internalName="BrKolegija" ma:percentage="FALSE">
      <xsd:simpleType>
        <xsd:restriction base="dms:Number">
          <xsd:maxInclusive value="2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hidden="true" ma:internalName="Sazetak" ma:readOnly="false">
      <xsd:simpleType>
        <xsd:restriction base="dms:Note"/>
      </xsd:simpleType>
    </xsd:element>
    <xsd:element name="PrijedlogPostupanja" ma:index="13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Dileme" ma:index="14" nillable="true" ma:displayName="Dileme" ma:description="Dileme" ma:hidden="true" ma:internalName="Dileme" ma:readOnly="false">
      <xsd:simpleType>
        <xsd:restriction base="dms:Note"/>
      </xsd:simpleType>
    </xsd:element>
    <xsd:element name="Izreka" ma:index="16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A289E9-33B3-46F0-BFF4-79EB2003AB88}">
  <ds:schemaRefs>
    <ds:schemaRef ds:uri="http://schemas.microsoft.com/office/2006/metadata/properties"/>
    <ds:schemaRef ds:uri="http://schemas.microsoft.com/office/infopath/2007/PartnerControls"/>
    <ds:schemaRef ds:uri="d8745bc5-821e-4205-946a-621c2da728c8"/>
    <ds:schemaRef ds:uri="78f22ebb-1672-409c-861e-2e3852ec77f2"/>
  </ds:schemaRefs>
</ds:datastoreItem>
</file>

<file path=customXml/itemProps2.xml><?xml version="1.0" encoding="utf-8"?>
<ds:datastoreItem xmlns:ds="http://schemas.openxmlformats.org/officeDocument/2006/customXml" ds:itemID="{1EB68424-F515-42CC-90D3-7A0FBC62F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22ebb-1672-409c-861e-2e3852ec77f2"/>
    <ds:schemaRef ds:uri="d8745bc5-821e-4205-946a-621c2da72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2C35FA-2B4E-49BE-96BA-72EBF941E2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Perleta</dc:creator>
  <cp:keywords/>
  <dc:description/>
  <cp:lastModifiedBy>Goran Bakula</cp:lastModifiedBy>
  <cp:revision>3</cp:revision>
  <cp:lastPrinted>2026-01-08T09:25:00Z</cp:lastPrinted>
  <dcterms:created xsi:type="dcterms:W3CDTF">2026-01-07T19:07:00Z</dcterms:created>
  <dcterms:modified xsi:type="dcterms:W3CDTF">2026-01-08T09:46:00Z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0x010100E3201D9876EA684985838004C554164F</vt:lpwstr>
  </property>
</Properties>
</file>